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3A71D0">
      <w:pPr>
        <w:numPr>
          <w:ilvl w:val="0"/>
          <w:numId w:val="18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</w:t>
      </w:r>
      <w:r w:rsidR="00AE2E94">
        <w:rPr>
          <w:rFonts w:ascii="Times New Roman" w:hAnsi="Times New Roman"/>
          <w:sz w:val="24"/>
          <w:szCs w:val="24"/>
        </w:rPr>
        <w:t xml:space="preserve"> проект. - М.: Просвещение, 2015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>Программа основного общего образования. Физика. 7-9 классы. Авторы: А.В. Перышкин, Н.В. Филонович, Е.М. Гутник (Физика. 7-9 классы: рабочие программы / сост. Е.Н. Тихонова. - 5-е изд. перераб. - М.: Дрофа, 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</w:t>
      </w:r>
      <w:r w:rsidR="007D2152">
        <w:rPr>
          <w:bCs/>
        </w:rPr>
        <w:t>льного перечня учебников на 2021-2022</w:t>
      </w:r>
      <w:r w:rsidRPr="00E642A8">
        <w:rPr>
          <w:bCs/>
        </w:rPr>
        <w:t xml:space="preserve"> уч.г</w:t>
      </w:r>
      <w:r>
        <w:rPr>
          <w:bCs/>
        </w:rPr>
        <w:t>од</w:t>
      </w:r>
      <w:r w:rsidRPr="00E642A8">
        <w:rPr>
          <w:bCs/>
        </w:rPr>
        <w:t>.;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Перышкина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857AB7" w:rsidRDefault="00857AB7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  <w:rPr>
          <w:b/>
          <w:bCs/>
        </w:rPr>
      </w:pP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bookmarkStart w:id="0" w:name="_GoBack"/>
      <w:bookmarkEnd w:id="0"/>
      <w:r w:rsidRPr="00F738EB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lastRenderedPageBreak/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Наблюдение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величин: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измерений.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lastRenderedPageBreak/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 xml:space="preserve">Диффузия в газах, жидкостях и твердых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Относительность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 xml:space="preserve">путь, скорость, время движения). Равномерное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 xml:space="preserve">Графики зависимости пути и модуля скорости от времени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 xml:space="preserve">Сложение двух сил, направленных по одной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Трение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</w:t>
      </w:r>
      <w:r w:rsidRPr="008877B6">
        <w:rPr>
          <w:rFonts w:ascii="Times New Roman" w:hAnsi="Times New Roman"/>
          <w:sz w:val="24"/>
          <w:szCs w:val="24"/>
        </w:rPr>
        <w:lastRenderedPageBreak/>
        <w:t>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AE2E94">
        <w:rPr>
          <w:rFonts w:ascii="Times New Roman" w:hAnsi="Times New Roman"/>
          <w:b/>
          <w:sz w:val="24"/>
          <w:szCs w:val="24"/>
        </w:rPr>
        <w:t xml:space="preserve"> и планируемые результаты.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уверенность в возможности познания природы, необходимости разумного использования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самостоятельность в приобретении знаний о физических явлениях: механических, электрических, магнитных, тепловых, звуковых, световых;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познавательные интересы и творческие способности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самостоятельно приобретать знания о способах измерения физических величин и практической значимости изученного материала;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экспериментальный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социальный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длине, объеме, времени, температуре;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при определении цены деления и объема, 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 лабораторная работа №1,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убежденность в познаваемости природы, самостоятельность в приобретении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интеллектуальные и творческие способности, развивать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способность к самостоятельному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ценностные отношения друг к другу, к учителю, к результатам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 xml:space="preserve">научиться пользоваться экспериментальным методом исследования при измерении размеров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обосновывать решения, самостоятельно оценивать результаты своих действий;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убежденность в необходимости разумного использования достижений науки и технологий.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природу физических явлений: расширение тел при нагревании, диффузия в газах, жидкостях и твердых телах, смачивание и несмачивание тел большая сжимаемость газов, малая сжимаемость жидкостей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несмачивания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тела, об агрегатном состоянии вещества на Земле и планетах Солнечной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 xml:space="preserve">овладеть познавательными универсальными учебными действиями на примерах гипотез для объяснения строения вещества и молекулы, явления диффузии в газах,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жидкостях и твердых телах, взаимодействия молекул и экспериментальной проверки выдвигаемых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молекулы воды, кислорода)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 xml:space="preserve">сформировать познавательный интерес и творческую инициативу, самостоятельность в приобретении знаний о механическом движении,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ностное отношение друг к другу, к учителю, к результатам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равномерного и неравномерного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механического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переводить физические величины из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о движении тел на основании личных наблюдений, практического опыта, понимания различий между теоретической моделью «равномерное движение» и реальным движением тел в окружающем мире;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выполнения домашних заданий, самостоятельные работы, лабораторные работы № 3,4,5,6,7,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экспериментальный метод исследования при изучении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ограниченность использования частных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давлении твердых тел, жидкостей, газов с помощью Интернета;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уметь проводить экспериментальную проверку выдвинутых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сформировать ценностное отношение друг </w:t>
            </w:r>
            <w:r w:rsidRPr="003F557B">
              <w:rPr>
                <w:rFonts w:ascii="Times New Roman" w:hAnsi="Times New Roman"/>
                <w:sz w:val="20"/>
                <w:szCs w:val="20"/>
              </w:rPr>
              <w:lastRenderedPageBreak/>
              <w:t>к другу, к учителю, к результатам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простых механизмов;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исследование зависимостей физических величин с использованием прямых измерений: при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использования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воспринимать информацию физического содержания в научно-популярной литературе и средствах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оценки результатов измерения при выполнении домашних экспериментальных заданий,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выполнения домашних заданий, самостоятельные работы, лабораторные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повторение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5EA5" w:rsidRDefault="00345EA5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D306D" w:rsidRPr="009D306D" w:rsidRDefault="009D306D" w:rsidP="009D306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D306D">
        <w:rPr>
          <w:rFonts w:eastAsia="Calibri"/>
          <w:b/>
          <w:sz w:val="32"/>
          <w:szCs w:val="32"/>
          <w:lang w:eastAsia="en-US"/>
        </w:rPr>
        <w:lastRenderedPageBreak/>
        <w:t>Календарно-тематическое планирование 7 класс физика (70часов)</w:t>
      </w:r>
    </w:p>
    <w:p w:rsidR="009D306D" w:rsidRPr="009D306D" w:rsidRDefault="009D306D" w:rsidP="009D306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505"/>
        <w:gridCol w:w="992"/>
        <w:gridCol w:w="1276"/>
        <w:gridCol w:w="1134"/>
      </w:tblGrid>
      <w:tr w:rsidR="00955378" w:rsidRPr="009D306D" w:rsidTr="00955378">
        <w:tc>
          <w:tcPr>
            <w:tcW w:w="992" w:type="dxa"/>
            <w:vMerge w:val="restart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Кол-во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955378" w:rsidRPr="009D306D" w:rsidTr="00955378">
        <w:tc>
          <w:tcPr>
            <w:tcW w:w="992" w:type="dxa"/>
            <w:vMerge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D306D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 xml:space="preserve">§ 1-2. Что изучает физика.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Некоторые физические термины.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§ 3-4. Наблюдения и опыты.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Физические величины. Измерение физических величин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5. Точность и погрешность измерений. Лабораторная работа № 1. «Определение цены деления измерительного прибора»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§ 6. Физика и техника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Обобщающий урок по теме «Физика и физические  методы изучения природы». Контрольная работа № 1 по теме «Физика и физические методы изучения природы»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55378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§7-9. Строение вещества.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Молекулы.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Броуновское движение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Лабораторная работа № 2 «Определение размеров малых тел»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10-11. Движение молекул.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Взаимодействие молекул.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Зачет  № 1 по теме «Первоначальные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сведения о строении вещества»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14-15. Механическое движение. Равномерное и неравномерное движение.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16. Скорость.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Единицы скорости.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17. Расчет пути и времени движения.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955378"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18. Инерция.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955378"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19. Взаимодействие тел</w:t>
            </w:r>
          </w:p>
        </w:tc>
        <w:tc>
          <w:tcPr>
            <w:tcW w:w="992" w:type="dxa"/>
            <w:vMerge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20-21. Масса тела. Единицы массы. Измерение массы тела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на весах.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22. Плотность вещества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Лабораторная работа № 4 «Измерение объема тела»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lastRenderedPageBreak/>
              <w:t>Лабораторная работа № 5 «Определение плотности тела»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23. Расчет массы и объема тела по его плотности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Контрольная работа № 2 по темам  «Механическое движение», «Масса», «Плотность вещества».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24-25. Сила.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Явление тяготения.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Сила тяжести.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26. Сила упругости.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Закон Гука.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27. Вес тела. 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0400AB">
        <w:trPr>
          <w:trHeight w:val="379"/>
        </w:trPr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28. Единицы силы. Связь между силой тяжести и массой тела.</w:t>
            </w:r>
          </w:p>
        </w:tc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955378"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29. Сила тяжести на других планетах.</w:t>
            </w:r>
          </w:p>
        </w:tc>
        <w:tc>
          <w:tcPr>
            <w:tcW w:w="992" w:type="dxa"/>
            <w:shd w:val="clear" w:color="auto" w:fill="auto"/>
          </w:tcPr>
          <w:p w:rsidR="00BB1DC8" w:rsidRPr="009D306D" w:rsidRDefault="000400AB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30. Динамометр. Лабораторная работа № 6 «Градуирование пружины и измерение сил динамометром»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31. Сложение двух сил, направленных по одной прямой.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32-33. Сила трения. Трение покоя.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955378"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34. Трение в природе и технике.</w:t>
            </w:r>
          </w:p>
        </w:tc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1DC8" w:rsidRPr="009D306D" w:rsidTr="00955378">
        <w:tc>
          <w:tcPr>
            <w:tcW w:w="992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 Лабораторная работа № 7 «Выяснение зависимости силы трения скольжения от площади соприкосновения тел и прижимающей силы».</w:t>
            </w:r>
          </w:p>
        </w:tc>
        <w:tc>
          <w:tcPr>
            <w:tcW w:w="992" w:type="dxa"/>
            <w:shd w:val="clear" w:color="auto" w:fill="auto"/>
          </w:tcPr>
          <w:p w:rsidR="00BB1DC8" w:rsidRPr="009D306D" w:rsidRDefault="000400AB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1DC8" w:rsidRPr="009D306D" w:rsidRDefault="00BB1DC8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Решение задач по темам «Силы», «Равнодействующая сил».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Зачет № 2  по теме «Взаимодействие тел»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35-36. Давление.  Единицы давления. Способы уменьшения  и увеличения давления.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37.  Давление газа.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38. Передача давления жидкостями и газами.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Закон Паскаля.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39-40. Давление в жидкости и газе. Расчет давления жидкости на дно и стенки сосуда.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41. Сообщающиеся сосуды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§ 42-43. Вес воздуха.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Атмосферное давление.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44. Измерение атмосферного давления. Опыт Торричелли.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47. Манометры.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48-49. Поршневой жидкостный насос. Гидравлический пресс.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1E75E9">
        <w:trPr>
          <w:trHeight w:val="285"/>
        </w:trPr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46</w:t>
            </w:r>
          </w:p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50. Действие жидкости и газа на погруженное в них тело.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75E9" w:rsidRPr="009D306D" w:rsidTr="00955378">
        <w:trPr>
          <w:trHeight w:val="510"/>
        </w:trPr>
        <w:tc>
          <w:tcPr>
            <w:tcW w:w="992" w:type="dxa"/>
            <w:shd w:val="clear" w:color="auto" w:fill="auto"/>
          </w:tcPr>
          <w:p w:rsidR="001E75E9" w:rsidRPr="009D306D" w:rsidRDefault="001E75E9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E75E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:rsidR="001E75E9" w:rsidRPr="009D306D" w:rsidRDefault="001E75E9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1E75E9">
              <w:rPr>
                <w:rFonts w:eastAsia="Calibri"/>
                <w:bCs/>
                <w:lang w:eastAsia="en-US"/>
              </w:rPr>
              <w:t>§ 51. Закон Архимеда.</w:t>
            </w:r>
          </w:p>
        </w:tc>
        <w:tc>
          <w:tcPr>
            <w:tcW w:w="992" w:type="dxa"/>
            <w:shd w:val="clear" w:color="auto" w:fill="auto"/>
          </w:tcPr>
          <w:p w:rsidR="001E75E9" w:rsidRPr="009D306D" w:rsidRDefault="001E75E9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75E9" w:rsidRDefault="001E75E9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75E9" w:rsidRPr="009D306D" w:rsidRDefault="001E75E9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52. Плавание тел.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53-54. Плавание судов. Воздухоплавание.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 xml:space="preserve">Решение задач по темам «Архимедова сила», «Плавание тел», «Плавание судов. 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Воздухоплавание».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Зачет № 3 по теме «Давление твердых тел, жидкостей и газов».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55. Механическая работа. Единицы работы.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56. Мощность. Единицы мощности.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57-58. Простые механизмы. Рычаг. Равновесие сил на рычаге.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59. Момент силы.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60. Рычаги в технике, быту и природе. Лабораторная работа № 10 «Выяснение условия равновесия рычага».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61-62. Блоки. «Золотое правило» механики.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Решение задач по теме «Условия равновесия рычага».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rPr>
          <w:trHeight w:val="547"/>
        </w:trPr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62</w:t>
            </w:r>
          </w:p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63. Центр тяжести тела.</w:t>
            </w:r>
          </w:p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64. Условия равновесия тел.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65. Коэффициент полезного 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66-67. Энергия. Кинетическая и потенциальная энергия.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§ 68. Превращение одного вида механической энергии в другой.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Зачет № 4 по теме «Работа и мощность. Энергия».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55378" w:rsidRPr="009D306D" w:rsidTr="00955378"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05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9D306D">
              <w:rPr>
                <w:rFonts w:eastAsia="Calibri"/>
                <w:bCs/>
                <w:lang w:eastAsia="en-US"/>
              </w:rPr>
              <w:t>Подведение итогов учебного года</w:t>
            </w:r>
          </w:p>
        </w:tc>
        <w:tc>
          <w:tcPr>
            <w:tcW w:w="992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D30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306D" w:rsidRPr="009D306D" w:rsidRDefault="009D306D" w:rsidP="0095537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9D306D" w:rsidRPr="009D306D" w:rsidRDefault="009D306D" w:rsidP="009D306D">
      <w:pPr>
        <w:spacing w:after="160" w:line="259" w:lineRule="auto"/>
        <w:rPr>
          <w:rFonts w:eastAsia="Calibri"/>
          <w:b/>
          <w:lang w:eastAsia="en-US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D2FDB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36" w:rsidRDefault="004F2936" w:rsidP="00505B90">
      <w:pPr>
        <w:spacing w:after="0" w:line="240" w:lineRule="auto"/>
      </w:pPr>
      <w:r>
        <w:separator/>
      </w:r>
    </w:p>
  </w:endnote>
  <w:endnote w:type="continuationSeparator" w:id="0">
    <w:p w:rsidR="004F2936" w:rsidRDefault="004F2936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36" w:rsidRDefault="004F2936" w:rsidP="00505B90">
      <w:pPr>
        <w:spacing w:after="0" w:line="240" w:lineRule="auto"/>
      </w:pPr>
      <w:r>
        <w:separator/>
      </w:r>
    </w:p>
  </w:footnote>
  <w:footnote w:type="continuationSeparator" w:id="0">
    <w:p w:rsidR="004F2936" w:rsidRDefault="004F2936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 w15:restartNumberingAfterBreak="0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 w15:restartNumberingAfterBreak="0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 w15:restartNumberingAfterBreak="0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 w15:restartNumberingAfterBreak="0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 w15:restartNumberingAfterBreak="0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 w15:restartNumberingAfterBreak="0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 w15:restartNumberingAfterBreak="0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 w15:restartNumberingAfterBreak="0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 w15:restartNumberingAfterBreak="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 w15:restartNumberingAfterBreak="0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 w15:restartNumberingAfterBreak="0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 w15:restartNumberingAfterBreak="0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 w15:restartNumberingAfterBreak="0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 w15:restartNumberingAfterBreak="0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 w15:restartNumberingAfterBreak="0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 w15:restartNumberingAfterBreak="0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 w15:restartNumberingAfterBreak="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 w15:restartNumberingAfterBreak="0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 w15:restartNumberingAfterBreak="0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 w15:restartNumberingAfterBreak="0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 w15:restartNumberingAfterBreak="0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 w15:restartNumberingAfterBreak="0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 w15:restartNumberingAfterBreak="0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 w15:restartNumberingAfterBreak="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 w15:restartNumberingAfterBreak="0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 w15:restartNumberingAfterBreak="0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 w15:restartNumberingAfterBreak="0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 w15:restartNumberingAfterBreak="0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 w15:restartNumberingAfterBreak="0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 w15:restartNumberingAfterBreak="0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3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10"/>
  </w:num>
  <w:num w:numId="15">
    <w:abstractNumId w:val="50"/>
  </w:num>
  <w:num w:numId="16">
    <w:abstractNumId w:val="5"/>
  </w:num>
  <w:num w:numId="17">
    <w:abstractNumId w:val="18"/>
  </w:num>
  <w:num w:numId="18">
    <w:abstractNumId w:val="4"/>
  </w:num>
  <w:num w:numId="19">
    <w:abstractNumId w:val="77"/>
  </w:num>
  <w:num w:numId="20">
    <w:abstractNumId w:val="8"/>
  </w:num>
  <w:num w:numId="21">
    <w:abstractNumId w:val="6"/>
  </w:num>
  <w:num w:numId="22">
    <w:abstractNumId w:val="55"/>
  </w:num>
  <w:num w:numId="23">
    <w:abstractNumId w:val="22"/>
  </w:num>
  <w:num w:numId="24">
    <w:abstractNumId w:val="70"/>
  </w:num>
  <w:num w:numId="25">
    <w:abstractNumId w:val="17"/>
  </w:num>
  <w:num w:numId="26">
    <w:abstractNumId w:val="19"/>
  </w:num>
  <w:num w:numId="27">
    <w:abstractNumId w:val="53"/>
  </w:num>
  <w:num w:numId="28">
    <w:abstractNumId w:val="60"/>
  </w:num>
  <w:num w:numId="29">
    <w:abstractNumId w:val="7"/>
  </w:num>
  <w:num w:numId="30">
    <w:abstractNumId w:val="11"/>
  </w:num>
  <w:num w:numId="31">
    <w:abstractNumId w:val="54"/>
  </w:num>
  <w:num w:numId="32">
    <w:abstractNumId w:val="65"/>
  </w:num>
  <w:num w:numId="33">
    <w:abstractNumId w:val="61"/>
  </w:num>
  <w:num w:numId="34">
    <w:abstractNumId w:val="38"/>
  </w:num>
  <w:num w:numId="35">
    <w:abstractNumId w:val="66"/>
  </w:num>
  <w:num w:numId="36">
    <w:abstractNumId w:val="49"/>
  </w:num>
  <w:num w:numId="37">
    <w:abstractNumId w:val="71"/>
  </w:num>
  <w:num w:numId="38">
    <w:abstractNumId w:val="47"/>
  </w:num>
  <w:num w:numId="39">
    <w:abstractNumId w:val="73"/>
  </w:num>
  <w:num w:numId="40">
    <w:abstractNumId w:val="34"/>
  </w:num>
  <w:num w:numId="41">
    <w:abstractNumId w:val="58"/>
  </w:num>
  <w:num w:numId="42">
    <w:abstractNumId w:val="76"/>
  </w:num>
  <w:num w:numId="43">
    <w:abstractNumId w:val="32"/>
  </w:num>
  <w:num w:numId="44">
    <w:abstractNumId w:val="46"/>
  </w:num>
  <w:num w:numId="45">
    <w:abstractNumId w:val="15"/>
  </w:num>
  <w:num w:numId="46">
    <w:abstractNumId w:val="45"/>
  </w:num>
  <w:num w:numId="47">
    <w:abstractNumId w:val="75"/>
  </w:num>
  <w:num w:numId="48">
    <w:abstractNumId w:val="33"/>
  </w:num>
  <w:num w:numId="49">
    <w:abstractNumId w:val="21"/>
  </w:num>
  <w:num w:numId="50">
    <w:abstractNumId w:val="40"/>
  </w:num>
  <w:num w:numId="51">
    <w:abstractNumId w:val="43"/>
  </w:num>
  <w:num w:numId="52">
    <w:abstractNumId w:val="35"/>
  </w:num>
  <w:num w:numId="53">
    <w:abstractNumId w:val="25"/>
  </w:num>
  <w:num w:numId="54">
    <w:abstractNumId w:val="41"/>
  </w:num>
  <w:num w:numId="55">
    <w:abstractNumId w:val="20"/>
  </w:num>
  <w:num w:numId="56">
    <w:abstractNumId w:val="27"/>
  </w:num>
  <w:num w:numId="57">
    <w:abstractNumId w:val="28"/>
  </w:num>
  <w:num w:numId="58">
    <w:abstractNumId w:val="9"/>
  </w:num>
  <w:num w:numId="59">
    <w:abstractNumId w:val="24"/>
  </w:num>
  <w:num w:numId="60">
    <w:abstractNumId w:val="39"/>
  </w:num>
  <w:num w:numId="61">
    <w:abstractNumId w:val="68"/>
  </w:num>
  <w:num w:numId="62">
    <w:abstractNumId w:val="72"/>
  </w:num>
  <w:num w:numId="63">
    <w:abstractNumId w:val="31"/>
  </w:num>
  <w:num w:numId="64">
    <w:abstractNumId w:val="78"/>
  </w:num>
  <w:num w:numId="65">
    <w:abstractNumId w:val="12"/>
  </w:num>
  <w:num w:numId="66">
    <w:abstractNumId w:val="74"/>
  </w:num>
  <w:num w:numId="67">
    <w:abstractNumId w:val="30"/>
  </w:num>
  <w:num w:numId="68">
    <w:abstractNumId w:val="69"/>
  </w:num>
  <w:num w:numId="69">
    <w:abstractNumId w:val="2"/>
  </w:num>
  <w:num w:numId="70">
    <w:abstractNumId w:val="16"/>
  </w:num>
  <w:num w:numId="71">
    <w:abstractNumId w:val="1"/>
  </w:num>
  <w:num w:numId="72">
    <w:abstractNumId w:val="57"/>
  </w:num>
  <w:num w:numId="73">
    <w:abstractNumId w:val="67"/>
  </w:num>
  <w:num w:numId="74">
    <w:abstractNumId w:val="13"/>
  </w:num>
  <w:num w:numId="75">
    <w:abstractNumId w:val="59"/>
  </w:num>
  <w:num w:numId="76">
    <w:abstractNumId w:val="48"/>
  </w:num>
  <w:num w:numId="77">
    <w:abstractNumId w:val="56"/>
  </w:num>
  <w:num w:numId="78">
    <w:abstractNumId w:val="42"/>
  </w:num>
  <w:num w:numId="79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400AB"/>
    <w:rsid w:val="000531EA"/>
    <w:rsid w:val="00053D14"/>
    <w:rsid w:val="00086197"/>
    <w:rsid w:val="00090716"/>
    <w:rsid w:val="000A036B"/>
    <w:rsid w:val="000B3443"/>
    <w:rsid w:val="000B3C78"/>
    <w:rsid w:val="000B6417"/>
    <w:rsid w:val="000C44B4"/>
    <w:rsid w:val="000C7740"/>
    <w:rsid w:val="000C7998"/>
    <w:rsid w:val="000D7031"/>
    <w:rsid w:val="000F3407"/>
    <w:rsid w:val="000F3476"/>
    <w:rsid w:val="000F767B"/>
    <w:rsid w:val="00112909"/>
    <w:rsid w:val="00133187"/>
    <w:rsid w:val="00143EF2"/>
    <w:rsid w:val="00154C55"/>
    <w:rsid w:val="001577D3"/>
    <w:rsid w:val="00192DE7"/>
    <w:rsid w:val="001A513E"/>
    <w:rsid w:val="001A59D9"/>
    <w:rsid w:val="001A6BFE"/>
    <w:rsid w:val="001C65BB"/>
    <w:rsid w:val="001D06C0"/>
    <w:rsid w:val="001D48F8"/>
    <w:rsid w:val="001E404F"/>
    <w:rsid w:val="001E75E9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226"/>
    <w:rsid w:val="00245EBE"/>
    <w:rsid w:val="002679E1"/>
    <w:rsid w:val="00282051"/>
    <w:rsid w:val="002926AC"/>
    <w:rsid w:val="002B1092"/>
    <w:rsid w:val="002C50F1"/>
    <w:rsid w:val="002C74DF"/>
    <w:rsid w:val="002D5992"/>
    <w:rsid w:val="002E2D15"/>
    <w:rsid w:val="002F1520"/>
    <w:rsid w:val="002F1B3D"/>
    <w:rsid w:val="002F4127"/>
    <w:rsid w:val="0032161B"/>
    <w:rsid w:val="00335DE8"/>
    <w:rsid w:val="00345EA5"/>
    <w:rsid w:val="003575D8"/>
    <w:rsid w:val="00360104"/>
    <w:rsid w:val="0037466E"/>
    <w:rsid w:val="00381E56"/>
    <w:rsid w:val="003845E4"/>
    <w:rsid w:val="00393786"/>
    <w:rsid w:val="003A71D0"/>
    <w:rsid w:val="003E32C0"/>
    <w:rsid w:val="003E4D76"/>
    <w:rsid w:val="003F557B"/>
    <w:rsid w:val="004163AD"/>
    <w:rsid w:val="004169B3"/>
    <w:rsid w:val="0044152A"/>
    <w:rsid w:val="00443D8D"/>
    <w:rsid w:val="004467A7"/>
    <w:rsid w:val="004501AE"/>
    <w:rsid w:val="00450399"/>
    <w:rsid w:val="0045499E"/>
    <w:rsid w:val="00462255"/>
    <w:rsid w:val="00476404"/>
    <w:rsid w:val="00487091"/>
    <w:rsid w:val="004A412E"/>
    <w:rsid w:val="004A71BF"/>
    <w:rsid w:val="004B746F"/>
    <w:rsid w:val="004C0710"/>
    <w:rsid w:val="004C32FC"/>
    <w:rsid w:val="004D6802"/>
    <w:rsid w:val="004D7FBC"/>
    <w:rsid w:val="004F2936"/>
    <w:rsid w:val="004F3B07"/>
    <w:rsid w:val="00501F69"/>
    <w:rsid w:val="00505B90"/>
    <w:rsid w:val="00513B0D"/>
    <w:rsid w:val="00523CD5"/>
    <w:rsid w:val="00530425"/>
    <w:rsid w:val="0053060B"/>
    <w:rsid w:val="00533940"/>
    <w:rsid w:val="005400D3"/>
    <w:rsid w:val="00540582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2AB3"/>
    <w:rsid w:val="005D7815"/>
    <w:rsid w:val="005E49B2"/>
    <w:rsid w:val="005E55C3"/>
    <w:rsid w:val="005E5D97"/>
    <w:rsid w:val="00600747"/>
    <w:rsid w:val="00603BD1"/>
    <w:rsid w:val="00607284"/>
    <w:rsid w:val="00613126"/>
    <w:rsid w:val="00617E36"/>
    <w:rsid w:val="00624E7F"/>
    <w:rsid w:val="006314A1"/>
    <w:rsid w:val="00645D77"/>
    <w:rsid w:val="00655FD8"/>
    <w:rsid w:val="0066179C"/>
    <w:rsid w:val="00671EEB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374F0"/>
    <w:rsid w:val="00754552"/>
    <w:rsid w:val="00785E4F"/>
    <w:rsid w:val="007947B7"/>
    <w:rsid w:val="007952FA"/>
    <w:rsid w:val="00796CA8"/>
    <w:rsid w:val="007B3DF0"/>
    <w:rsid w:val="007B45D6"/>
    <w:rsid w:val="007C710E"/>
    <w:rsid w:val="007C7627"/>
    <w:rsid w:val="007C7F79"/>
    <w:rsid w:val="007D014F"/>
    <w:rsid w:val="007D2152"/>
    <w:rsid w:val="007D740C"/>
    <w:rsid w:val="007E2E85"/>
    <w:rsid w:val="007F20C5"/>
    <w:rsid w:val="00804F22"/>
    <w:rsid w:val="0081521D"/>
    <w:rsid w:val="008237B9"/>
    <w:rsid w:val="00823D59"/>
    <w:rsid w:val="00837F15"/>
    <w:rsid w:val="00857AB7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3930"/>
    <w:rsid w:val="008D6431"/>
    <w:rsid w:val="008E0ED7"/>
    <w:rsid w:val="008F5315"/>
    <w:rsid w:val="00904BA7"/>
    <w:rsid w:val="00910AB0"/>
    <w:rsid w:val="009137EE"/>
    <w:rsid w:val="00921EE7"/>
    <w:rsid w:val="0093307F"/>
    <w:rsid w:val="009360B7"/>
    <w:rsid w:val="00936A69"/>
    <w:rsid w:val="0094645B"/>
    <w:rsid w:val="00955378"/>
    <w:rsid w:val="00956198"/>
    <w:rsid w:val="00961461"/>
    <w:rsid w:val="00971988"/>
    <w:rsid w:val="009825EF"/>
    <w:rsid w:val="009862D3"/>
    <w:rsid w:val="009A1A2B"/>
    <w:rsid w:val="009A5C28"/>
    <w:rsid w:val="009A6CC7"/>
    <w:rsid w:val="009B53B7"/>
    <w:rsid w:val="009D306D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34B69"/>
    <w:rsid w:val="00A36C73"/>
    <w:rsid w:val="00A459AA"/>
    <w:rsid w:val="00A71B75"/>
    <w:rsid w:val="00A85AAC"/>
    <w:rsid w:val="00AA35AE"/>
    <w:rsid w:val="00AB0849"/>
    <w:rsid w:val="00AB78BA"/>
    <w:rsid w:val="00AC257D"/>
    <w:rsid w:val="00AC5C22"/>
    <w:rsid w:val="00AD4EFF"/>
    <w:rsid w:val="00AD5E81"/>
    <w:rsid w:val="00AE0616"/>
    <w:rsid w:val="00AE194E"/>
    <w:rsid w:val="00AE2E94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DC8"/>
    <w:rsid w:val="00BB1FA2"/>
    <w:rsid w:val="00BC5991"/>
    <w:rsid w:val="00BC7ED4"/>
    <w:rsid w:val="00BD02C5"/>
    <w:rsid w:val="00BE2E34"/>
    <w:rsid w:val="00BE3C9A"/>
    <w:rsid w:val="00BE5435"/>
    <w:rsid w:val="00BE56EE"/>
    <w:rsid w:val="00BE5B96"/>
    <w:rsid w:val="00BF52EA"/>
    <w:rsid w:val="00C1134E"/>
    <w:rsid w:val="00C14B31"/>
    <w:rsid w:val="00C205E7"/>
    <w:rsid w:val="00C521BA"/>
    <w:rsid w:val="00C62506"/>
    <w:rsid w:val="00C804B7"/>
    <w:rsid w:val="00C82F92"/>
    <w:rsid w:val="00C94320"/>
    <w:rsid w:val="00CA4904"/>
    <w:rsid w:val="00CB0F6F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D2FDB"/>
    <w:rsid w:val="00DD7D0C"/>
    <w:rsid w:val="00DF43DD"/>
    <w:rsid w:val="00E025A1"/>
    <w:rsid w:val="00E15123"/>
    <w:rsid w:val="00E366DF"/>
    <w:rsid w:val="00E44A0B"/>
    <w:rsid w:val="00E47E8F"/>
    <w:rsid w:val="00E642A8"/>
    <w:rsid w:val="00E64FEB"/>
    <w:rsid w:val="00E94465"/>
    <w:rsid w:val="00EA0D14"/>
    <w:rsid w:val="00EA5E7C"/>
    <w:rsid w:val="00EB2238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43B46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AB19C"/>
  <w15:docId w15:val="{1E8CA318-BF48-4E3E-902C-8ACBC3C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table" w:customStyle="1" w:styleId="1">
    <w:name w:val="Сетка таблицы1"/>
    <w:basedOn w:val="a1"/>
    <w:next w:val="aa"/>
    <w:uiPriority w:val="39"/>
    <w:rsid w:val="009D30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4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DF4-74BD-4D20-A2F3-7E9FF5C1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21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53</cp:revision>
  <cp:lastPrinted>2020-09-24T18:26:00Z</cp:lastPrinted>
  <dcterms:created xsi:type="dcterms:W3CDTF">2016-06-05T18:09:00Z</dcterms:created>
  <dcterms:modified xsi:type="dcterms:W3CDTF">2021-08-18T16:39:00Z</dcterms:modified>
</cp:coreProperties>
</file>